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90.png" ContentType="image/png"/>
  <Override PartName="/word/media/rId89.png" ContentType="image/png"/>
  <Override PartName="/word/media/rId86.png" ContentType="image/png"/>
  <Override PartName="/word/media/rId85.png" ContentType="image/png"/>
  <Override PartName="/word/media/rId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29</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 emigrants at Deadwater Slough by Northern Pikeminnow may impact adult returns to the Upper Salmon MPG.</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(12 hectares), and averaging 68 m width.</w:t>
      </w:r>
    </w:p>
    <w:bookmarkEnd w:id="22"/>
    <w:bookmarkStart w:id="23"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w:t>
      </w:r>
      <w:r>
        <w:t xml:space="preserve"> </w:t>
      </w:r>
      <m:oMath>
        <m:r>
          <m:t>i</m:t>
        </m:r>
      </m:oMath>
      <w:r>
        <w:t xml:space="preserve">. Here, sample</w:t>
      </w:r>
      <w:r>
        <w:t xml:space="preserve"> </w:t>
      </w:r>
      <m:oMath>
        <m:r>
          <m:t>i</m:t>
        </m:r>
      </m:oMath>
      <w:r>
        <w:t xml:space="preserve"> </w:t>
      </w:r>
      <w:r>
        <w:t xml:space="preserve">is defined as each day. The Schnabel estimator does not have an associated standard error; however, the 95%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bookmarkEnd w:id="23"/>
    <w:bookmarkStart w:id="24"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 (e.g., juvenile Chinook Salmon) versus other food items (e.g., invertebrates). Therefore, we varied the proportion of the diet consisting of fish versus invertebrates to range from 10-90%, in 10% intervals, for both categories. Energy densities for invertebrates was fixed at 3,000 J/g. We estimate the g of (any) fish consumed for each model run. For simplicity, we assume that any fish prey have the same energy densities as juvenile Chinook Salmon and we do not differentiate juvenile Chinook Salmon from other fish prey than may be present in Deadwater slough (e.g., juvenile steelhead, juvenile Sockeye Salmon, Redside Shiner).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amount (grams) of fish consumed by an individual Northern Pikeminnow during the fall or spring time periods.</w:t>
      </w:r>
    </w:p>
    <w:p>
      <w:pPr>
        <w:pStyle w:val="BodyText"/>
      </w:pPr>
      <w:r>
        <w:t xml:space="preserve">To estimate the total biomass of fish potentially consumed by all Northern Pikeminnow in Deadwater Slough, we then multiplied the grams of fish consumed by an individual Northern Pikeminnow during each period (fall and spring) by the estimated predator population size for that period. The total biomass was further converted to an estimate of the total number of fish consumed each period by dividing by the average weight of DSR (10.3 g) and NRR (10.9 g) emigrants in the Upper Salmon MPG. The weight of an average DSR and NRR emigrants was taken from fish caught at seven rotary screw traps located throughout the Upper Salmon MPG upstream of Deadwater Slough during the fall and spring time periods. This calculation assumes that all fish prey items consumed by Northern Pikeminnow are, on average, the same size as DSR and NRR emigrants.</w:t>
      </w:r>
    </w:p>
    <w:bookmarkEnd w:id="25"/>
    <w:bookmarkEnd w:id="26"/>
    <w:bookmarkStart w:id="30" w:name="results"/>
    <w:p>
      <w:pPr>
        <w:pStyle w:val="Heading1"/>
      </w:pPr>
      <w:r>
        <w:t xml:space="preserve">Results</w:t>
      </w:r>
    </w:p>
    <w:bookmarkStart w:id="27" w:name="northern-pikeminnow-abundance-1"/>
    <w:p>
      <w:pPr>
        <w:pStyle w:val="Heading2"/>
      </w:pPr>
      <w:r>
        <w:t xml:space="preserve">Northern Pikeminnow Abundance</w:t>
      </w:r>
    </w:p>
    <w:p>
      <w:pPr>
        <w:pStyle w:val="FirstParagraph"/>
      </w:pPr>
      <w:r>
        <w:t xml:space="preserve">We caught 664, 803, and 202 Northern Pikeminnow during the fall 2019, fall 2020, and spring 2021 efforts, respectively, for a total of 1,669 fish caught using hook-and-line angling. The CPUE, measured as number of Northern Pikeminnow caught per angler hour, was 1.84 for fall 2019, 1.24 for fall 2020, and 0.81 for spring 2021 (Figure</w:t>
      </w:r>
      <w:r>
        <w:t xml:space="preserve"> </w:t>
      </w:r>
      <w:r>
        <w:t xml:space="preserve">2</w:t>
      </w:r>
      <w:r>
        <w:t xml:space="preserve">). During the mark-recapture efforts, there were eight recaptures in fall 2019 which included seven unique individuals (i.e., one individual was captured more than once). There were an additional six recaptures in fall 2020 which included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24,882 to 43,279 (Table</w:t>
      </w:r>
      <w:r>
        <w:t xml:space="preserve"> </w:t>
      </w:r>
      <w:r>
        <w:t xml:space="preserve">3</w:t>
      </w:r>
      <w:r>
        <w:t xml:space="preserve">).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efforts.</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we fell those estimators most appropriate. Additionally, because the Schnabel estimator includes a small sample size modification, as in our case (i.e., few recaptures), we feel it is most appropriate. The Schnabel estimator has the added benefit of more precise confidence intervals and is more straightforward than the Schumacher-Eschmeyer estimate as it is essentially the weighted average among multiple Chapman-modified Lincoln-Peterson estimates. Therefore, further analyses and results will be based on the Schnabel estimates of abundance.</w:t>
      </w:r>
    </w:p>
    <w:p>
      <w:pPr>
        <w:pStyle w:val="BodyText"/>
      </w:pPr>
      <w:r>
        <w:t xml:space="preserve">Using the mean of the Schnabel estimates of Northern Pikeminnow abundance across the two fall sampling events, 28,144 (95% CI: 14,378 - 59,978), and multiplying the ratio (0.53) between the spring CPUE (0.81) and mean of the fall CPUEs (1.54), we estimated there to be 14,897 (95% CI: 7,610 - 31,747) Northern Pikeminnow in Deadwater Slough during spring 2021.</w:t>
      </w:r>
    </w:p>
    <w:bookmarkEnd w:id="27"/>
    <w:bookmarkStart w:id="28" w:name="gastric-lavage-1"/>
    <w:p>
      <w:pPr>
        <w:pStyle w:val="Heading2"/>
      </w:pPr>
      <w:r>
        <w:t xml:space="preserve">Gastric Lavage</w:t>
      </w:r>
    </w:p>
    <w:p>
      <w:pPr>
        <w:pStyle w:val="FirstParagraph"/>
      </w:pPr>
      <w:r>
        <w:t xml:space="preserve">We examined the stomach contents of 1,564 Northern Pikeminnow from Deadwater Slough using gastric lavage methods. Of those, we found contents of some form in 350 (22.4%) stomachs and confirmed fish or fish parts in 44 (12.6%) of those. Table</w:t>
      </w:r>
      <w:r>
        <w:t xml:space="preserve"> </w:t>
      </w:r>
      <w:r>
        <w:t xml:space="preserve">4</w:t>
      </w:r>
      <w:r>
        <w:t xml:space="preserve"> </w:t>
      </w:r>
      <w:r>
        <w:t xml:space="preserve">summarizes gastric lavage results for each sampling effort. For those individuals with stomach contents, the average wet weight of total contents was 0.98 g (median = 0.25 g; range = 0.01-17.4 g). Overall, fish or fish remnants consisted of 11.7% of the overall of all stomach contents examined.</w:t>
      </w:r>
    </w:p>
    <w:bookmarkEnd w:id="28"/>
    <w:bookmarkStart w:id="29" w:name="bioenergetics-1"/>
    <w:p>
      <w:pPr>
        <w:pStyle w:val="Heading2"/>
      </w:pPr>
      <w:r>
        <w:t xml:space="preserve">Bioenergetics</w:t>
      </w:r>
    </w:p>
    <w:p>
      <w:pPr>
        <w:pStyle w:val="FirstParagraph"/>
      </w:pPr>
      <w:r>
        <w:t xml:space="preserve">We estimated an individual, average-size (352.9 mm) Northern Pikeminnow to consume 45.23 g (range 22.84 - 50.73 g) of fish during the DSR emigration to maintain their body size, depending on the proportion of diet consisting of fish versus invertebrates (Figure</w:t>
      </w:r>
      <w:r>
        <w:t xml:space="preserve"> </w:t>
      </w:r>
      <w:r>
        <w:t xml:space="preserve">5</w:t>
      </w:r>
      <w:r>
        <w:t xml:space="preserve">). Similarly, we estimated an average-size (393.7 mm) Northern Pikeminnow to consume 44.29 g (range 22.39 - 49.74 g) of fish during the NRR emigration (Figure</w:t>
      </w:r>
      <w:r>
        <w:t xml:space="preserve"> </w:t>
      </w:r>
      <w:r>
        <w:t xml:space="preserve">5</w:t>
      </w:r>
      <w:r>
        <w:t xml:space="preserve">). Given an average weight of 10.3 g for DSR emigrants, that would equate to 4.39 (range 2.22 - 4.93) fish consumed by an individual during fall and an additional 4.06 (range 2.05 - 4.56) fish consumed using an average weight of 10.9 g for NRR emigrants.</w:t>
      </w:r>
    </w:p>
    <w:p>
      <w:pPr>
        <w:pStyle w:val="BodyText"/>
      </w:pPr>
      <w:r>
        <w:t xml:space="preserve">Given a mean Northern Pikeminnow population size of 28,144 from fall estimates and an estimate of 14,897 for spring 2021 and using the median value from diet scenarios (i.e, 50% of their diet consists of fish), we’d estimate that Northern Pikeminnow can consume 123,588 (95% CI: 62,409 - 138,616) fish during the DSR emigration and 60,531 (95% CI: 30,600 - 67,980) fish during the NRR emigration in Deadwater Slough. Table</w:t>
      </w:r>
      <w:r>
        <w:t xml:space="preserve"> </w:t>
      </w:r>
      <w:r>
        <w:t xml:space="preserve">5</w:t>
      </w:r>
      <w:r>
        <w:t xml:space="preserve"> </w:t>
      </w:r>
      <w:r>
        <w:t xml:space="preserve">shows the estimated number of fish consumed by an individual Northern Pikeminnow and by the population across all diet scenarios during both the fall (DSR) and spring (NRR) peak emigration seasons.</w:t>
      </w:r>
    </w:p>
    <w:p>
      <w:pPr>
        <w:pStyle w:val="BodyText"/>
      </w:pPr>
      <w:r>
        <w:t xml:space="preserve">Across both seasons and all diet scenarios, we estimated the total number of fish consumed to be between 93,009 and 206,596 (Table</w:t>
      </w:r>
      <w:r>
        <w:t xml:space="preserve"> </w:t>
      </w:r>
      <w:r>
        <w:t xml:space="preserve">5</w:t>
      </w:r>
      <w:r>
        <w:t xml:space="preserve">). The estimated number of fish consumed by a Northern Pikeminnow begins to taper off between the 30-90% diet scenarios. So although we are uncertain of the diet proportions consisting of fish versus invertebrates, the impact of that uncertainty is somewhat constrained.</w:t>
      </w:r>
    </w:p>
    <w:bookmarkEnd w:id="29"/>
    <w:bookmarkEnd w:id="30"/>
    <w:bookmarkStart w:id="40" w:name="discussion"/>
    <w:p>
      <w:pPr>
        <w:pStyle w:val="Heading1"/>
      </w:pPr>
      <w:r>
        <w:t xml:space="preserve">Discussion</w:t>
      </w:r>
    </w:p>
    <w:p>
      <w:pPr>
        <w:pStyle w:val="FirstParagraph"/>
      </w:pPr>
      <w:r>
        <w:t xml:space="preserve">The mean population size of Northern Pikeminnow in the Deadwater Slough during the fall season was estimated to be 28,144 and during the spring 2021 to be 14,897. Those estimates translate to linear densities of 15,042 and 7,962 which is 22 and 11 times greater than densities reported by</w:t>
      </w:r>
      <w:r>
        <w:t xml:space="preserve"> </w:t>
      </w:r>
      <w:r>
        <w:t xml:space="preserve">Beamesderfer and Rieman (1991)</w:t>
      </w:r>
      <w:r>
        <w:t xml:space="preserve"> </w:t>
      </w:r>
      <w:r>
        <w:t xml:space="preserve">for the John Day Reservoir and approximately five and three times greater than projections for the lower Columbia River</w:t>
      </w:r>
      <w:r>
        <w:t xml:space="preserve"> </w:t>
      </w:r>
      <w:r>
        <w:t xml:space="preserve">(Beamesderfer et al. 1996)</w:t>
      </w:r>
      <w:r>
        <w:t xml:space="preserve">. These densities for Deadwater Slough initially seem unrealistic especially given the size (volume) of the Salmon River at the slough relative to the Columbia River. However, we did catch 1,669 Northern Pikeminnow over the course of the study, of which only 14 fish (one in every 119) were recaptures. Further,</w:t>
      </w:r>
      <w:r>
        <w:t xml:space="preserve"> </w:t>
      </w:r>
      <w:r>
        <w:t xml:space="preserve">Beamesderfer and Rieman (1991)</w:t>
      </w:r>
      <w:r>
        <w:t xml:space="preserve"> </w:t>
      </w:r>
      <w:r>
        <w:t xml:space="preserve">did acknowledge that they were unsuccessful in finding a suitable method for sampling offshore; they noted that water velocity, depth, irregular bottom contours, and barge traffic made sampling offshore ineffective and so their abundance estimates only apply to nearshore areas. This was not the case at Deadwater Slough where maximum depth was approximately 10-15 m with a relatively homogeneous bottom contour i.e., angling was effective for the entire area. Our estimates of Northern Pikeminnow areal density are also higher than those reported elsewhere. We estimate the density of Northern Pikeminnow in Deadwater Slough, as fish per hectare, to be 2,357 for fall and 1,247 for spring. For comparison, the only other available estimates of areal density, that the authors are aware of, are 4.4 fish per hectare for John Day Reservoir</w:t>
      </w:r>
      <w:r>
        <w:t xml:space="preserve"> </w:t>
      </w:r>
      <w:r>
        <w:t xml:space="preserve">(Beamesderfer and Rieman 1991)</w:t>
      </w:r>
      <w:r>
        <w:t xml:space="preserve"> </w:t>
      </w:r>
      <w:r>
        <w:t xml:space="preserve">and 15 fish per hectare in Lake Washington</w:t>
      </w:r>
      <w:r>
        <w:t xml:space="preserve"> </w:t>
      </w:r>
      <w:r>
        <w:t xml:space="preserve">(Bartoo 1977)</w:t>
      </w:r>
      <w:r>
        <w:t xml:space="preserve">.</w:t>
      </w:r>
    </w:p>
    <w:p>
      <w:pPr>
        <w:pStyle w:val="BodyText"/>
      </w:pPr>
      <w:r>
        <w:t xml:space="preserve">Northern Pikeminnow in Deadwater Slough were not only abundant, but anglers noticed that many were also large-bodied. For that reason, we calculated the proportional stock density (PSD) for Northern Pikeminnow in Deadwater Slough, which is a measure of species size structure. PSD is a ratio, typically expressed as a percentage, between the number of</w:t>
      </w:r>
      <w:r>
        <w:t xml:space="preserve"> </w:t>
      </w:r>
      <w:r>
        <w:t xml:space="preserve">“</w:t>
      </w:r>
      <w:r>
        <w:t xml:space="preserve">quality_sized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Stock and quality size definitions vary by species. We calculated the PSD for Northern Pikeminnow in Deadwater Slough using 250 mm TL for stock-size and 380 mm TL for quality-size</w:t>
      </w:r>
      <w:r>
        <w:t xml:space="preserve"> </w:t>
      </w:r>
      <w:r>
        <w:t xml:space="preserve">(Winther et al. 2020)</w:t>
      </w:r>
      <w:r>
        <w:t xml:space="preserve">. The PSD for Northern Pikeminnow in Deadwater Slough across all three efforts was 50% i.e., 50% of captured fish were over the quality size classification defined by</w:t>
      </w:r>
      <w:r>
        <w:t xml:space="preserve"> </w:t>
      </w:r>
      <w:r>
        <w:t xml:space="preserve">Winther et al. (2020)</w:t>
      </w:r>
      <w:r>
        <w:t xml:space="preserve">. For comparison,</w:t>
      </w:r>
      <w:r>
        <w:t xml:space="preserve"> </w:t>
      </w:r>
      <w:r>
        <w:t xml:space="preserve">Winther et al. (2020)</w:t>
      </w:r>
      <w:r>
        <w:t xml:space="preserve"> </w:t>
      </w:r>
      <w:r>
        <w:t xml:space="preserve">reported a PSD for Northern Pikeminnow captured below Bonneville Dam of 41% and 18% in Bonneville Reservoir, suggesting that a larger fraction of Northern Pikeminnow in Deadwater Slough are of a quality size relative to populations reported elsewhere in the Columbia River. In fact, the state record Northern Pikeminnow, which measured 639 mm (25.2 in) TL, was caught in Deadwater Slough during the fall 2020 effort.</w:t>
      </w:r>
    </w:p>
    <w:bookmarkStart w:id="31" w:name="mark-recapture-model"/>
    <w:p>
      <w:pPr>
        <w:pStyle w:val="Heading2"/>
      </w:pPr>
      <w:r>
        <w:t xml:space="preserve">Mark-Recapture Model</w:t>
      </w:r>
    </w:p>
    <w:p>
      <w:pPr>
        <w:pStyle w:val="FirstParagraph"/>
      </w:pPr>
      <w:r>
        <w:t xml:space="preserve">All mark-recapture abundance estimators suggest a large number of Northern Pikeminnow occupying Deadwater Slough. Estimators assumed: (1) the population is closed (no immigration, emigration, births, or deaths during the sampling period), (2) all fish have equal chance of being caught in the second (and subsequent) samples(s), (3) marking a fish does not affect its chances of recapture, (4) no loss of marks, and (5) marks are not missed or mistaken. If the population is actually open (potential immigration and/or emigration during the survey period), our estimators should still provide unbiased estimates of abundance as long as the immigration and emigration rates are equal between marked and unmarked fish. Given the size of the sampling area, and the limited length of the sampling period (two weeks), we are comfortable with the assumption of no immigration or emigration. Assumption (3) indicates whether the second (and subsequent) surveys are random samples of the population. Angling methods may provide a size selection bias, but that only affects the interpretation of the abundance estimates (i.e., our estimates are the abundance of Northern Pikeminnow susceptible to angling above some size threshold). Unequal catchability between individual fish is very difficult to assess, especially if that heterogeneity arises from being caught once; however, we did recapture two individual fish more than once suggesting that marked fish were still susceptible to angling. We are also comfortable with assumptions 4 and 5 (no loss of marks and no mistaken or missed marks) given that marks were physical (hole punches in fins) and that each fish was examined on a measuring board to collect lengths.</w:t>
      </w:r>
    </w:p>
    <w:p>
      <w:pPr>
        <w:pStyle w:val="BodyText"/>
      </w:pPr>
      <w:r>
        <w:t xml:space="preserve">We do consider two potential violations of assumption, both which reduces the probability that a marked fish is susceptible to capture in the second (and subsequent) samples. First, the assumption of a closed population could be violated if some marked fish that are released back to the population die. We don’t believe this case to be likely, as fish that were dead or nearly so after processing were not released back to the population (nor recorded as such), and those that were released were hand-released only if they were able to swim away on their own volition; however, the potential for marked and released fish to have died at a higher rate than unmarked fish should be acknowledged. The second, and more likely, reason is that marked and released fish did not mix thoroughly back into the population (at least not at a fast enough rate), reducing their probability of capture in subsequent captures, thus violating assumption (2). We attempted to release marked fish throughout Deadwater Slough to facilitate mixing back into the population; however, anecdotally volunteer anglers would congregate to particular areas of the slough either to socialize with other anglers, because the fishing was good, etc. and if marked and released fish were not readily available in those areas that would make marked fish less susceptible to capture. This violation would, in effect, reduce the number of marked fish available for recapture or reduce the marking fraction in some areas of the slough. Violations of assumption (2) would lead to an overestimate of abundance of Northern Pikeminnow which is a real possibility in our study.</w:t>
      </w:r>
    </w:p>
    <w:p>
      <w:pPr>
        <w:pStyle w:val="BodyText"/>
      </w:pPr>
      <w:r>
        <w:t xml:space="preserve">The spring abundance estimate was smaller than either fall abundance estimate. However, our approach assumed equal capture probabilities between the fall and spring sample efforts. If it does differ, we suspect that the capture probability in the spring would be lower due to higher flows (i.e., reduced densities), which would lead to our spring abundance estimate being biased low. Therefore, we presume our abundance estimate of Northern Pikeminnow for the spring 2021 effort to be a conservative estimate.</w:t>
      </w:r>
    </w:p>
    <w:bookmarkEnd w:id="31"/>
    <w:bookmarkStart w:id="32" w:name="gastric-lavage-2"/>
    <w:p>
      <w:pPr>
        <w:pStyle w:val="Heading2"/>
      </w:pPr>
      <w:r>
        <w:t xml:space="preserve">Gastric Lavage</w:t>
      </w:r>
    </w:p>
    <w:p>
      <w:pPr>
        <w:pStyle w:val="FirstParagraph"/>
      </w:pPr>
      <w:r>
        <w:t xml:space="preserve">The majority of fish caught during the study received gastric lavage. To evaluate the efficacy of the method, we euthanized nine Northern Pikeminnow after gastric lavage was completed and removed the remaining stomach contents via dissection. In each case, no additional stomach contents were identified, suggesting that gastric lavage was effective in removing stomach contents, although our sample size was low. However, in total, we only identified fish or fish parts in 44 (2.8%) of the 1,564 Northern Pikeminnow examined using gastric lavage. Aside from juvenile Chinook Salmon, identified species included Redshine Shiner,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however, decomposition from digestion rendered most stomach contents unidentifiable.</w:t>
      </w:r>
    </w:p>
    <w:p>
      <w:pPr>
        <w:pStyle w:val="BodyText"/>
      </w:pPr>
      <w:r>
        <w:t xml:space="preserve">Although we only identified fish or fish parts within 2.8% of Northern Pikeminnow examined and that fish remnants were only 11.7% of the overall stomach contents, we believe those numbers to be misleading…</w:t>
      </w:r>
    </w:p>
    <w:bookmarkEnd w:id="32"/>
    <w:bookmarkStart w:id="33" w:name="bioenergetics-2"/>
    <w:p>
      <w:pPr>
        <w:pStyle w:val="Heading2"/>
      </w:pPr>
      <w:r>
        <w:t xml:space="preserve">Bioenergetics</w:t>
      </w:r>
    </w:p>
    <w:p>
      <w:pPr>
        <w:pStyle w:val="FirstParagraph"/>
      </w:pPr>
      <w:r>
        <w:t xml:space="preserve">An average-size Northern Pikeminnow from Deadwater Slough is estimated to consume 45.23 g (range 22.84 - 50.73 g) and 44.29 g (range 22.39 - 49.74 g) of fish during spring and fall, respectively, to maintain its body weight using mean daily water temperatures recorded at a nearby stream gage</w:t>
      </w:r>
      <w:r>
        <w:t xml:space="preserve"> </w:t>
      </w:r>
      <w:r>
        <w:t xml:space="preserve">(U.S. Geological Survey 2016)</w:t>
      </w:r>
      <w:r>
        <w:t xml:space="preserve">. This equates to 89.52 g of fish consumed during the DSR and NRR peak emigrations assuming the median value among diet scenarios (i.e., if 50% of their diet consists of fish); values ranged from a minimum of 45.23 g if only 10% of the diet is fish to a maximum of 100.47 g if 90% of the diet is fish.</w:t>
      </w:r>
    </w:p>
    <w:p>
      <w:pPr>
        <w:pStyle w:val="BodyText"/>
      </w:pPr>
      <w:r>
        <w:t xml:space="preserve">This approach currently assumes that juvenile Chinook Salmon are the only fish prey available to or preyed upon by Northern Pikeminnow. It further assumes that all prey available have energy densities equal to juvenile Chinook Salmon, which may not be far from the truth, given that other salmonids including juvenile steelhead and Sockeye Salmon are likely also prevalent as available prey in Deadwater Slough, especially during the spring migration. Additionally, hatchery smolt releases (Chinook Salmon, steelhead, and Sockeye Salmon) are also prevalent in the mainstem Salmon River during the spring migration. However, our study is focused on potential impacts to natural-origin DSR and NRR Chinook Salmon, in which case, let’s consider a</w:t>
      </w:r>
      <w:r>
        <w:t xml:space="preserve"> </w:t>
      </w:r>
      <w:r>
        <w:t xml:space="preserve">“</w:t>
      </w:r>
      <w:r>
        <w:t xml:space="preserve">thought exercise</w:t>
      </w:r>
      <w:r>
        <w:t xml:space="preserve">”</w:t>
      </w:r>
      <w:r>
        <w:t xml:space="preserve"> </w:t>
      </w:r>
      <w:r>
        <w:t xml:space="preserve">where DSR and NRR Chinook Salmon represent only 10% and 25% of total fish prey consumed by Northern Pikeminnow during these periods. Under these scenarios, the average Northern Pikeminnow would consume 8.95 g (range 4.52 – 10.05 g) if 10% of prey were natural-origin Chinook Salmon and 22.38 g (range 11.31 – 25.12) if 25%.</w:t>
      </w:r>
    </w:p>
    <w:p>
      <w:pPr>
        <w:pStyle w:val="BodyText"/>
      </w:pPr>
      <w:r>
        <w:t xml:space="preserve">To estimate the total number of possible juvenile Chinook Salmon that could be consumed, we divided the cumulative consumption in grams for an individual Northern Pikeminnow by the average weight of a Chinook Salmon emigrant (taken from all rotary screw traps in the Upper Salmon MPG) to come up with a juvenile equivalency, and then multiplied this by a</w:t>
      </w:r>
      <w:r>
        <w:t xml:space="preserve"> </w:t>
      </w:r>
      <w:r>
        <w:t xml:space="preserve">“</w:t>
      </w:r>
      <w:r>
        <w:t xml:space="preserve">stable</w:t>
      </w:r>
      <w:r>
        <w:t xml:space="preserve">”</w:t>
      </w:r>
      <w:r>
        <w:t xml:space="preserve"> </w:t>
      </w:r>
      <w:r>
        <w:t xml:space="preserve">estimate of abundance for Northern Pikeminnow in Deadwater Slough, resulting in an estimate of the equivalent toal number of Chinook Salmon juveniles consumed. If we assume an average juvenile Chinook Salmon of 10.6 g, the mean from DSR and NRR Chinook Salmon emigrants in the Upper Salmon MPG, this equates to 0.84 juvenile Chinook Salmon (range 0.43 – 0.94) under the 10% scenario and 2.11 juvenile Chinook Salmon (range 1.07 – 2.37) under the 25% scenario.</w:t>
      </w:r>
    </w:p>
    <w:p>
      <w:pPr>
        <w:pStyle w:val="BodyText"/>
      </w:pPr>
      <w:r>
        <w:t xml:space="preserve">Let’s now consider a stable Northern Pikeminnow population size of 10,000 (roughly the mean of fall and spring abundance estimates, divided by two to account for half of marked individuals not being available for recapture). In this case, the Northern Pikeminnow population in Deadwater Slough would be estimated to consume 8,400 (range 4,300 – 9,400) or 21,100 (range 10,700 – 23,700) under the 10% and 25% scenarios, respectively.</w:t>
      </w:r>
    </w:p>
    <w:bookmarkEnd w:id="33"/>
    <w:bookmarkStart w:id="34" w:name="impacts-to-adult-returns"/>
    <w:p>
      <w:pPr>
        <w:pStyle w:val="Heading2"/>
      </w:pPr>
      <w:r>
        <w:t xml:space="preserve">Impacts to Adult Returns</w:t>
      </w:r>
    </w:p>
    <w:p>
      <w:pPr>
        <w:pStyle w:val="FirstParagraph"/>
      </w:pPr>
      <w:r>
        <w:t xml:space="preserve">Finally, let’s take our thought exercise one additional step and estimate the number of additional adult Chinook Salmon that might be expected to return to Lower Granite Dam if predation in the Deadwater Slough was reduced or eliminated. Our approach here was to multiply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 Assuming an SAR of 0.00614 (SE: 0.00051) we’ll consider the</w:t>
      </w:r>
      <w:r>
        <w:t xml:space="preserve"> </w:t>
      </w:r>
      <w:r>
        <w:t xml:space="preserve">“</w:t>
      </w:r>
      <w:r>
        <w:t xml:space="preserve">adult equivalents</w:t>
      </w:r>
      <w:r>
        <w:t xml:space="preserve">”</w:t>
      </w:r>
      <w:r>
        <w:t xml:space="preserve"> </w:t>
      </w:r>
      <w:r>
        <w:t xml:space="preserve">to our estimates of juveniles consumed. Under this scenario, the consumed juveniles would be equivalent to 51.6 adults (range 26.4 – 57.7) and 129.6 adults (range 65.7 – 145.6). However, we believe these 10% and 25% scenarios to be conservative, especially during the fall DSR emigration period. During spring, natural-origin steelhead and Sockeye Salmon are also actively emigrating from the Upper Salmon River and hatchery-origin releases of all three species (Chinook Salmon, steelhead, and Sockeye Salmon) are present in the river, and so 10% or 25% may be reasonable. However, during fall, DSR Chinook Salmon are likely the dominant prey species available to Chinook Salmon in Deadwater Slough as 1) no (or at least minimal) hatchery releases are present in the river and 2) fall emigrations of steelhead and Sockeye Salmon are less prominent than in Chinook Salmon. Note that this thought exercise only includes the Northern Pikeminnow population in Deadwater Slough even though they are present throughout the upper Salmon River, although likely at lower densities than in Deadwater Slough, and also ignores potential impacts to ESA-listed steelhead and Sockeye Salmon that are also a portion of the Northern Pikeminnow diet.</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to monitor movement and survival. During that informal survey, 10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(4), and steelhead (3), all juveniles.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during field efforts; Great Blue Herons were especially prevalent in the anastomizing reach immediately upriver of the slackwater reach. Additionally, there is documentation of individual Double-crested Cormorants</w:t>
      </w:r>
      <w:r>
        <w:t xml:space="preserve"> </w:t>
      </w:r>
      <w:r>
        <w:t xml:space="preserve">(eBird 2021)</w:t>
      </w:r>
      <w:r>
        <w:t xml:space="preserve"> </w:t>
      </w:r>
      <w:r>
        <w:t xml:space="preserve">at the Deadwater Slough, although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Chinook Salmon populations in the Upper Salmon River MPG support local fisheries and economies in years with sufficient abundance and have substantial cultural value in the region. These populations additionally support downriver commercial and subsistence fisheries in the Snake and Columbia rivers. Recovery of the MPG is desired which requires that at least five of the eight populations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recovery of the Snake River Evolutionary Significant Unit. Spawner abundance is perhaps the most important metric considered in determining a population’s viability. We estimated that consumption of juvenile Chinook Salmon by Northern Pikeminnow in the Deadwater Slough potentially reduces annual adult natural-origin returns by 26.4 to 145.6 to upriver populations. Although this does not sound like a substantial amount, it represents 4.7% - 26.1% of the total mean adult escapement of 558 reported for the Upper Salmon River MPG in 2017 - 2019</w:t>
      </w:r>
      <w:r>
        <w:t xml:space="preserve"> </w:t>
      </w:r>
      <w:r>
        <w:t xml:space="preserve">(Kinzer et al. 2020)</w:t>
      </w:r>
      <w:r>
        <w:t xml:space="preserve">. Presumably, reductions in adult returns also affect natural-origin Sockeye Salmon and steelhead as well as hatchery populations in the Upper Salmon which provide for recreational fishing opportunities. Consequently, reducing predation mortality at Deadwater Slough could potentially benefit multiple upriver natural and hatchery populations for multiple ESA-listed species. Because the Deadwater Slough is part of the migratory pathway for emigrating salmonids, including for multiple species and populations, the impact of that benefit could be higher than tributary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envision two potential management actions at reducing predation at Deadwater Slough: 1) removing the Dump Creek alluvial fan and 2) a local Northern Pikeminnow bounty program to encourage harvest in Deadwater Slough aimed at reducing the predator population size. Both actions have evident pros and cons. Removing the Dump Creek alluvial fan has the benefit of restoring the Salmon River to a more natural flow (e.g., increased water velocity, decreased depth) and bathymetry (e.g., heterogeneous substrate) that likely existed in the reach prior to the failure of the mining reservoir dam in Dump Creek. Restoring flow would presumably reduce Northern Pikeminnow densities to levels similar to upstream and downstream reaches where recent studies identified higher survival and transition probabilities than those at Deadwater Slough (</w:t>
      </w:r>
      <w:r>
        <w:t xml:space="preserve">Axel et al. (2015)</w:t>
      </w:r>
      <w:r>
        <w:t xml:space="preserve">;</w:t>
      </w:r>
      <w:r>
        <w:t xml:space="preserve"> </w:t>
      </w:r>
      <w:r>
        <w:t xml:space="preserve">Ackerman et al. (2018)</w:t>
      </w:r>
      <w:r>
        <w:t xml:space="preserve">;</w:t>
      </w:r>
      <w:r>
        <w:t xml:space="preserve"> </w:t>
      </w:r>
      <w:r>
        <w:t xml:space="preserve">Porter et al. (2019)</w:t>
      </w:r>
      <w:r>
        <w:t xml:space="preserve">). However, we do not know the feasibility of removing or alleviating the Dump Creek alluvial fan, and if it could be removed or altered, future disturbance events could potentially move additional loose sediment in the Dump Creek drainage, thereby creating a new alluvial fan. Additionally, restoring the flow would likely diminish the value of the reach as an important bird watching and nesting area.</w:t>
      </w:r>
    </w:p>
    <w:p>
      <w:pPr>
        <w:pStyle w:val="BodyText"/>
      </w:pPr>
      <w:r>
        <w:t xml:space="preserve">Northern Pikeminnow bounty programs have proven successful at reducing population sizes and impacts on emigrating salmonids elsewhere (citation). A local bounty program in the Salmon River has the potential to boost the local economy (to an unknown degree) which has been negatively impacted by low returns of Chinook Salmon, steelhead, and Sockeye Salmon in recent decades. Many local business rely on license and gear sales for local sport fisheries, but low salmon and steelhead returns have eliminated or reduced the duration of fisheries in some years, and a local Northern Pikeminnow bounty program could allow the local economy to recoup some of those lost revenues. On the downside, bounty programs require continual effort and harvest to suppress the population size and so would require year of continued funding and local buy-in to remain effective. If funding or effort was alleviated, Northern Pikeminnow would likely recover to a higher population size without additional alterations to the habitat.</w:t>
      </w:r>
      <w:r>
        <w:t xml:space="preserve"> </w:t>
      </w:r>
    </w:p>
    <w:bookmarkEnd w:id="38"/>
    <w:bookmarkStart w:id="39"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an almost 2-kilometer section of unnaturally slow and deep river, resulting in favorable conditions for Northern Pikeminnow. We estimate that greater than 10,000 Northern Pikeminnow occupy Deadwater Slough with densities greater than reported elsewhere. Additionally, the slow water velocity and lack of cover have created conditions that favor predation on juvenile salmonids emigrating through Deadwater Slough including Chinook Salmon i.e., juvenile Chinook Salmon have slower movement rates and little refugia to avoid predation. We estimate that predation from Northern Pikeminnow in Deadwater Slough may reduce adult returns by as much as 146 or 26% or recent returns to the Upper Salmon River MPG. Therefore, predation in Deadwater Slough likely has a consequential impact on ESA-listed Chinook Salmon populations in the Upper Salmon MPG.</w:t>
      </w:r>
    </w:p>
    <w:bookmarkEnd w:id="39"/>
    <w:bookmarkEnd w:id="40"/>
    <w:bookmarkStart w:id="41"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Funding for this study was provided by the Bureau of Reclamation, Pacific Northwest Regional Office (contract No. 140R1021F0018) with assistance from the Idaho Governor’s Office of Species Conservation.</w:t>
      </w:r>
    </w:p>
    <w:p>
      <w:r>
        <w:br w:type="page"/>
      </w:r>
    </w:p>
    <w:bookmarkEnd w:id="41"/>
    <w:bookmarkStart w:id="81" w:name="literature-cited"/>
    <w:p>
      <w:pPr>
        <w:pStyle w:val="Heading1"/>
      </w:pPr>
      <w:r>
        <w:t xml:space="preserve">Literature Cited</w:t>
      </w:r>
    </w:p>
    <w:bookmarkStart w:id="80" w:name="refs"/>
    <w:bookmarkStart w:id="42"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2"/>
    <w:bookmarkStart w:id="43"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3"/>
    <w:bookmarkStart w:id="44" w:name="ref-Bartoo1977"/>
    <w:p>
      <w:pPr>
        <w:pStyle w:val="Bibliography"/>
      </w:pPr>
      <w:r>
        <w:t xml:space="preserve">Bartoo, N. W. 1977. Population parameter estimates and energy budgets for peamouth, northern squawfish, and yellow perch in</w:t>
      </w:r>
      <w:r>
        <w:t xml:space="preserve"> </w:t>
      </w:r>
      <w:r>
        <w:t xml:space="preserve">Lake Washington</w:t>
      </w:r>
      <w:r>
        <w:t xml:space="preserve">. Doctoral Dissertation. University of Washington, Seattle.</w:t>
      </w:r>
    </w:p>
    <w:bookmarkEnd w:id="44"/>
    <w:bookmarkStart w:id="45"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5"/>
    <w:bookmarkStart w:id="46"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6"/>
    <w:bookmarkStart w:id="47"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47"/>
    <w:bookmarkStart w:id="48"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8"/>
    <w:bookmarkStart w:id="49"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9"/>
    <w:bookmarkStart w:id="50"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0"/>
    <w:bookmarkStart w:id="51"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1"/>
    <w:bookmarkStart w:id="52"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2"/>
    <w:bookmarkStart w:id="53"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3"/>
    <w:bookmarkStart w:id="54"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4"/>
    <w:bookmarkStart w:id="55"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5"/>
    <w:bookmarkStart w:id="56"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6"/>
    <w:bookmarkStart w:id="57"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7"/>
    <w:bookmarkStart w:id="58"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58"/>
    <w:bookmarkStart w:id="59"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59"/>
    <w:bookmarkStart w:id="60"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60"/>
    <w:bookmarkStart w:id="61"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61"/>
    <w:bookmarkStart w:id="62"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2"/>
    <w:bookmarkStart w:id="63"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3"/>
    <w:bookmarkStart w:id="64"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4"/>
    <w:bookmarkStart w:id="65"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5"/>
    <w:bookmarkStart w:id="66"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6"/>
    <w:bookmarkStart w:id="67"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7"/>
    <w:bookmarkStart w:id="68"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8"/>
    <w:bookmarkStart w:id="69"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69"/>
    <w:bookmarkStart w:id="70"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0"/>
    <w:bookmarkStart w:id="71"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71"/>
    <w:bookmarkStart w:id="72"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2"/>
    <w:bookmarkStart w:id="73"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3"/>
    <w:bookmarkStart w:id="74"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4"/>
    <w:bookmarkStart w:id="75"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5"/>
    <w:bookmarkStart w:id="76"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76"/>
    <w:bookmarkStart w:id="77"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7"/>
    <w:bookmarkStart w:id="78"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8"/>
    <w:bookmarkStart w:id="79"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79"/>
    <w:bookmarkEnd w:id="80"/>
    <w:p>
      <w:r>
        <w:br w:type="page"/>
      </w:r>
    </w:p>
    <w:bookmarkEnd w:id="81"/>
    <w:bookmarkStart w:id="83" w:name="tables"/>
    <w:p>
      <w:pPr>
        <w:pStyle w:val="Heading1"/>
      </w:pPr>
      <w:r>
        <w:t xml:space="preserve">Tables</w:t>
      </w:r>
    </w:p>
    <w:bookmarkStart w:id="82" w:name="tables"/>
    <w:bookmarkEnd w:id="82"/>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743</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 CI</w:t>
            </w:r>
          </w:p>
        </w:tc>
        <w:tc>
          <w:tcPr/>
          <w:p>
            <w:pPr>
              <w:pStyle w:val="Compact"/>
              <w:jc w:val="right"/>
            </w:pPr>
            <w:r>
              <w:t xml:space="preserve">U 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5: Estimates of the number of fish consumed for each season and diet scenario. The diet scenario indicates the proportion of the Northern Pikeminnow diet consisting of fish. The</w:t>
      </w:r>
      <w:r>
        <w:t xml:space="preserve"> </w:t>
      </w:r>
      <w:r>
        <w:t xml:space="preserve">‘</w:t>
      </w:r>
      <w:r>
        <w:t xml:space="preserve">Fish Per NPM</w:t>
      </w:r>
      <w:r>
        <w:t xml:space="preserve">’</w:t>
      </w:r>
      <w:r>
        <w:t xml:space="preserve"> </w:t>
      </w:r>
      <w:r>
        <w:t xml:space="preserve">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w:t>
      </w:r>
      <w:r>
        <w:t xml:space="preserve"> </w:t>
      </w:r>
      <w:r>
        <w:t xml:space="preserve">‘</w:t>
      </w:r>
      <w:r>
        <w:t xml:space="preserve">adult equivalents</w:t>
      </w:r>
      <w:r>
        <w:t xml:space="preserve">’</w:t>
      </w:r>
      <w:r>
        <w:t xml:space="preserve"> </w:t>
      </w:r>
      <w:r>
        <w:t xml:space="preserve">is also estimated using a Lower Granite Dam smolt-to-adult rate (SAR) for Chinook Salmon from McCann et al. 2019.</w:t>
      </w:r>
    </w:p>
    <w:tbl>
      <w:tblPr>
        <w:tblStyle w:val="Table"/>
        <w:tblW w:type="auto" w:w="0"/>
        <w:tblLook w:firstRow="1" w:lastRow="0" w:firstColumn="0" w:lastColumn="0" w:noHBand="0" w:noVBand="0" w:val="0020"/>
        <w:tblCaption w:val="Table 5: Estimates of the number of fish consumed for each season and diet scenario. The diet scenario indicates the proportion of the Northern Pikeminnow diet consisting of fish. The ‘Fish Per NPM’ 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 ‘adult equivalents’ is also estimated using a Lower Granite Dam smolt-to-adult rate (SAR) for Chinook Salmon from McCann et al. 2019."/>
      </w:tblPr>
      <w:tblGrid>
        <w:gridCol w:w="720"/>
        <w:gridCol w:w="720"/>
        <w:gridCol w:w="720"/>
        <w:gridCol w:w="720"/>
        <w:gridCol w:w="720"/>
        <w:gridCol w:w="720"/>
        <w:gridCol w:w="720"/>
        <w:gridCol w:w="720"/>
        <w:gridCol w:w="720"/>
        <w:gridCol w:w="720"/>
        <w:gridCol w:w="720"/>
      </w:tblGrid>
      <w:tr>
        <w:trPr>
          <w:tblHeader w:val="true"/>
        </w:trPr>
        <w:tc>
          <w:tcPr/>
          <w:p>
            <w:pPr>
              <w:pStyle w:val="Compact"/>
              <w:jc w:val="left"/>
            </w:pPr>
            <w:r>
              <w:t xml:space="preserve">Season</w:t>
            </w:r>
          </w:p>
        </w:tc>
        <w:tc>
          <w:tcPr/>
          <w:p>
            <w:pPr>
              <w:pStyle w:val="Compact"/>
              <w:jc w:val="right"/>
            </w:pPr>
            <w:r>
              <w:t xml:space="preserve">p Fish</w:t>
            </w:r>
          </w:p>
        </w:tc>
        <w:tc>
          <w:tcPr/>
          <w:p>
            <w:pPr>
              <w:pStyle w:val="Compact"/>
              <w:jc w:val="right"/>
            </w:pPr>
            <w:r>
              <w:t xml:space="preserve">Fish Per NPM</w:t>
            </w:r>
          </w:p>
        </w:tc>
        <w:tc>
          <w:tcPr/>
          <w:p>
            <w:pPr>
              <w:pStyle w:val="Compact"/>
              <w:jc w:val="right"/>
            </w:pPr>
            <w:r>
              <w:t xml:space="preserve">Fish N</w:t>
            </w:r>
          </w:p>
        </w:tc>
        <w:tc>
          <w:tcPr/>
          <w:p>
            <w:pPr>
              <w:pStyle w:val="Compact"/>
              <w:jc w:val="right"/>
            </w:pPr>
            <w:r>
              <w:t xml:space="preserve">Fish L CI</w:t>
            </w:r>
          </w:p>
        </w:tc>
        <w:tc>
          <w:tcPr/>
          <w:p>
            <w:pPr>
              <w:pStyle w:val="Compact"/>
              <w:jc w:val="right"/>
            </w:pPr>
            <w:r>
              <w:t xml:space="preserve">Fish U CI</w:t>
            </w:r>
          </w:p>
        </w:tc>
        <w:tc>
          <w:tcPr/>
          <w:p>
            <w:pPr>
              <w:pStyle w:val="Compact"/>
              <w:jc w:val="right"/>
            </w:pPr>
            <w:r>
              <w:t xml:space="preserve">Median SAR</w:t>
            </w:r>
          </w:p>
        </w:tc>
        <w:tc>
          <w:tcPr/>
          <w:p>
            <w:pPr>
              <w:pStyle w:val="Compact"/>
              <w:jc w:val="right"/>
            </w:pPr>
            <w:r>
              <w:t xml:space="preserve">SD SAR</w:t>
            </w:r>
          </w:p>
        </w:tc>
        <w:tc>
          <w:tcPr/>
          <w:p>
            <w:pPr>
              <w:pStyle w:val="Compact"/>
              <w:jc w:val="right"/>
            </w:pPr>
            <w:r>
              <w:t xml:space="preserve">Adult N</w:t>
            </w:r>
          </w:p>
        </w:tc>
        <w:tc>
          <w:tcPr/>
          <w:p>
            <w:pPr>
              <w:pStyle w:val="Compact"/>
              <w:jc w:val="right"/>
            </w:pPr>
            <w:r>
              <w:t xml:space="preserve">Adult L CI</w:t>
            </w:r>
          </w:p>
        </w:tc>
        <w:tc>
          <w:tcPr/>
          <w:p>
            <w:pPr>
              <w:pStyle w:val="Compact"/>
              <w:jc w:val="right"/>
            </w:pPr>
            <w:r>
              <w:t xml:space="preserve">Adult U CI</w:t>
            </w:r>
          </w:p>
        </w:tc>
      </w:tr>
      <w:tr>
        <w:tc>
          <w:tcPr/>
          <w:p>
            <w:pPr>
              <w:pStyle w:val="Compact"/>
              <w:jc w:val="left"/>
            </w:pPr>
            <w:r>
              <w:t xml:space="preserve">Fall</w:t>
            </w:r>
          </w:p>
        </w:tc>
        <w:tc>
          <w:tcPr/>
          <w:p>
            <w:pPr>
              <w:pStyle w:val="Compact"/>
              <w:jc w:val="right"/>
            </w:pPr>
            <w:r>
              <w:t xml:space="preserve">10</w:t>
            </w:r>
          </w:p>
        </w:tc>
        <w:tc>
          <w:tcPr/>
          <w:p>
            <w:pPr>
              <w:pStyle w:val="Compact"/>
              <w:jc w:val="right"/>
            </w:pPr>
            <w:r>
              <w:t xml:space="preserve">2.22</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Fall</w:t>
            </w:r>
          </w:p>
        </w:tc>
        <w:tc>
          <w:tcPr/>
          <w:p>
            <w:pPr>
              <w:pStyle w:val="Compact"/>
              <w:jc w:val="right"/>
            </w:pPr>
            <w:r>
              <w:t xml:space="preserve">20</w:t>
            </w:r>
          </w:p>
        </w:tc>
        <w:tc>
          <w:tcPr/>
          <w:p>
            <w:pPr>
              <w:pStyle w:val="Compact"/>
              <w:jc w:val="right"/>
            </w:pPr>
            <w:r>
              <w:t xml:space="preserve">3.22</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Fall</w:t>
            </w:r>
          </w:p>
        </w:tc>
        <w:tc>
          <w:tcPr/>
          <w:p>
            <w:pPr>
              <w:pStyle w:val="Compact"/>
              <w:jc w:val="right"/>
            </w:pPr>
            <w:r>
              <w:t xml:space="preserve">30</w:t>
            </w:r>
          </w:p>
        </w:tc>
        <w:tc>
          <w:tcPr/>
          <w:p>
            <w:pPr>
              <w:pStyle w:val="Compact"/>
              <w:jc w:val="right"/>
            </w:pPr>
            <w:r>
              <w:t xml:space="preserve">3.78</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Fall</w:t>
            </w:r>
          </w:p>
        </w:tc>
        <w:tc>
          <w:tcPr/>
          <w:p>
            <w:pPr>
              <w:pStyle w:val="Compact"/>
              <w:jc w:val="right"/>
            </w:pPr>
            <w:r>
              <w:t xml:space="preserve">40</w:t>
            </w:r>
          </w:p>
        </w:tc>
        <w:tc>
          <w:tcPr/>
          <w:p>
            <w:pPr>
              <w:pStyle w:val="Compact"/>
              <w:jc w:val="right"/>
            </w:pPr>
            <w:r>
              <w:t xml:space="preserve">4.14</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Fall</w:t>
            </w:r>
          </w:p>
        </w:tc>
        <w:tc>
          <w:tcPr/>
          <w:p>
            <w:pPr>
              <w:pStyle w:val="Compact"/>
              <w:jc w:val="right"/>
            </w:pPr>
            <w:r>
              <w:t xml:space="preserve">50</w:t>
            </w:r>
          </w:p>
        </w:tc>
        <w:tc>
          <w:tcPr/>
          <w:p>
            <w:pPr>
              <w:pStyle w:val="Compact"/>
              <w:jc w:val="right"/>
            </w:pPr>
            <w:r>
              <w:t xml:space="preserve">4.39</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Fall</w:t>
            </w:r>
          </w:p>
        </w:tc>
        <w:tc>
          <w:tcPr/>
          <w:p>
            <w:pPr>
              <w:pStyle w:val="Compact"/>
              <w:jc w:val="right"/>
            </w:pPr>
            <w:r>
              <w:t xml:space="preserve">60</w:t>
            </w:r>
          </w:p>
        </w:tc>
        <w:tc>
          <w:tcPr/>
          <w:p>
            <w:pPr>
              <w:pStyle w:val="Compact"/>
              <w:jc w:val="right"/>
            </w:pPr>
            <w:r>
              <w:t xml:space="preserve">4.57</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Fall</w:t>
            </w:r>
          </w:p>
        </w:tc>
        <w:tc>
          <w:tcPr/>
          <w:p>
            <w:pPr>
              <w:pStyle w:val="Compact"/>
              <w:jc w:val="right"/>
            </w:pPr>
            <w:r>
              <w:t xml:space="preserve">70</w:t>
            </w:r>
          </w:p>
        </w:tc>
        <w:tc>
          <w:tcPr/>
          <w:p>
            <w:pPr>
              <w:pStyle w:val="Compact"/>
              <w:jc w:val="right"/>
            </w:pPr>
            <w:r>
              <w:t xml:space="preserve">4.72</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Fall</w:t>
            </w:r>
          </w:p>
        </w:tc>
        <w:tc>
          <w:tcPr/>
          <w:p>
            <w:pPr>
              <w:pStyle w:val="Compact"/>
              <w:jc w:val="right"/>
            </w:pPr>
            <w:r>
              <w:t xml:space="preserve">80</w:t>
            </w:r>
          </w:p>
        </w:tc>
        <w:tc>
          <w:tcPr/>
          <w:p>
            <w:pPr>
              <w:pStyle w:val="Compact"/>
              <w:jc w:val="right"/>
            </w:pPr>
            <w:r>
              <w:t xml:space="preserve">4.84</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Fall</w:t>
            </w:r>
          </w:p>
        </w:tc>
        <w:tc>
          <w:tcPr/>
          <w:p>
            <w:pPr>
              <w:pStyle w:val="Compact"/>
              <w:jc w:val="right"/>
            </w:pPr>
            <w:r>
              <w:t xml:space="preserve">90</w:t>
            </w:r>
          </w:p>
        </w:tc>
        <w:tc>
          <w:tcPr/>
          <w:p>
            <w:pPr>
              <w:pStyle w:val="Compact"/>
              <w:jc w:val="right"/>
            </w:pPr>
            <w:r>
              <w:t xml:space="preserve">4.93</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Spring</w:t>
            </w:r>
          </w:p>
        </w:tc>
        <w:tc>
          <w:tcPr/>
          <w:p>
            <w:pPr>
              <w:pStyle w:val="Compact"/>
              <w:jc w:val="right"/>
            </w:pPr>
            <w:r>
              <w:t xml:space="preserve">10</w:t>
            </w:r>
          </w:p>
        </w:tc>
        <w:tc>
          <w:tcPr/>
          <w:p>
            <w:pPr>
              <w:pStyle w:val="Compact"/>
              <w:jc w:val="right"/>
            </w:pPr>
            <w:r>
              <w:t xml:space="preserve">2.05</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Spring</w:t>
            </w:r>
          </w:p>
        </w:tc>
        <w:tc>
          <w:tcPr/>
          <w:p>
            <w:pPr>
              <w:pStyle w:val="Compact"/>
              <w:jc w:val="right"/>
            </w:pPr>
            <w:r>
              <w:t xml:space="preserve">20</w:t>
            </w:r>
          </w:p>
        </w:tc>
        <w:tc>
          <w:tcPr/>
          <w:p>
            <w:pPr>
              <w:pStyle w:val="Compact"/>
              <w:jc w:val="right"/>
            </w:pPr>
            <w:r>
              <w:t xml:space="preserve">2.98</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Spring</w:t>
            </w:r>
          </w:p>
        </w:tc>
        <w:tc>
          <w:tcPr/>
          <w:p>
            <w:pPr>
              <w:pStyle w:val="Compact"/>
              <w:jc w:val="right"/>
            </w:pPr>
            <w:r>
              <w:t xml:space="preserve">30</w:t>
            </w:r>
          </w:p>
        </w:tc>
        <w:tc>
          <w:tcPr/>
          <w:p>
            <w:pPr>
              <w:pStyle w:val="Compact"/>
              <w:jc w:val="right"/>
            </w:pPr>
            <w:r>
              <w:t xml:space="preserve">3.49</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Spring</w:t>
            </w:r>
          </w:p>
        </w:tc>
        <w:tc>
          <w:tcPr/>
          <w:p>
            <w:pPr>
              <w:pStyle w:val="Compact"/>
              <w:jc w:val="right"/>
            </w:pPr>
            <w:r>
              <w:t xml:space="preserve">40</w:t>
            </w:r>
          </w:p>
        </w:tc>
        <w:tc>
          <w:tcPr/>
          <w:p>
            <w:pPr>
              <w:pStyle w:val="Compact"/>
              <w:jc w:val="right"/>
            </w:pPr>
            <w:r>
              <w:t xml:space="preserve">3.83</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Spring</w:t>
            </w:r>
          </w:p>
        </w:tc>
        <w:tc>
          <w:tcPr/>
          <w:p>
            <w:pPr>
              <w:pStyle w:val="Compact"/>
              <w:jc w:val="right"/>
            </w:pPr>
            <w:r>
              <w:t xml:space="preserve">50</w:t>
            </w:r>
          </w:p>
        </w:tc>
        <w:tc>
          <w:tcPr/>
          <w:p>
            <w:pPr>
              <w:pStyle w:val="Compact"/>
              <w:jc w:val="right"/>
            </w:pPr>
            <w:r>
              <w:t xml:space="preserve">4.06</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Spring</w:t>
            </w:r>
          </w:p>
        </w:tc>
        <w:tc>
          <w:tcPr/>
          <w:p>
            <w:pPr>
              <w:pStyle w:val="Compact"/>
              <w:jc w:val="right"/>
            </w:pPr>
            <w:r>
              <w:t xml:space="preserve">60</w:t>
            </w:r>
          </w:p>
        </w:tc>
        <w:tc>
          <w:tcPr/>
          <w:p>
            <w:pPr>
              <w:pStyle w:val="Compact"/>
              <w:jc w:val="right"/>
            </w:pPr>
            <w:r>
              <w:t xml:space="preserve">4.24</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Spring</w:t>
            </w:r>
          </w:p>
        </w:tc>
        <w:tc>
          <w:tcPr/>
          <w:p>
            <w:pPr>
              <w:pStyle w:val="Compact"/>
              <w:jc w:val="right"/>
            </w:pPr>
            <w:r>
              <w:t xml:space="preserve">70</w:t>
            </w:r>
          </w:p>
        </w:tc>
        <w:tc>
          <w:tcPr/>
          <w:p>
            <w:pPr>
              <w:pStyle w:val="Compact"/>
              <w:jc w:val="right"/>
            </w:pPr>
            <w:r>
              <w:t xml:space="preserve">4.37</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Spring</w:t>
            </w:r>
          </w:p>
        </w:tc>
        <w:tc>
          <w:tcPr/>
          <w:p>
            <w:pPr>
              <w:pStyle w:val="Compact"/>
              <w:jc w:val="right"/>
            </w:pPr>
            <w:r>
              <w:t xml:space="preserve">80</w:t>
            </w:r>
          </w:p>
        </w:tc>
        <w:tc>
          <w:tcPr/>
          <w:p>
            <w:pPr>
              <w:pStyle w:val="Compact"/>
              <w:jc w:val="right"/>
            </w:pPr>
            <w:r>
              <w:t xml:space="preserve">4.48</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Spring</w:t>
            </w:r>
          </w:p>
        </w:tc>
        <w:tc>
          <w:tcPr/>
          <w:p>
            <w:pPr>
              <w:pStyle w:val="Compact"/>
              <w:jc w:val="right"/>
            </w:pPr>
            <w:r>
              <w:t xml:space="preserve">90</w:t>
            </w:r>
          </w:p>
        </w:tc>
        <w:tc>
          <w:tcPr/>
          <w:p>
            <w:pPr>
              <w:pStyle w:val="Compact"/>
              <w:jc w:val="right"/>
            </w:pPr>
            <w:r>
              <w:t xml:space="preserve">4.56</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83"/>
    <w:bookmarkStart w:id="92" w:name="figures"/>
    <w:p>
      <w:pPr>
        <w:pStyle w:val="Heading1"/>
      </w:pPr>
      <w:r>
        <w:t xml:space="preserve">Figures</w:t>
      </w:r>
    </w:p>
    <w:bookmarkStart w:id="84" w:name="figures"/>
    <w:bookmarkEnd w:id="84"/>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5"/>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e effort." title="" id="1" name="Picture"/>
            <a:graphic>
              <a:graphicData uri="http://schemas.openxmlformats.org/drawingml/2006/picture">
                <pic:pic>
                  <pic:nvPicPr>
                    <pic:cNvPr descr="../figures/cpue-fig-1.png" id="0" name="Picture"/>
                    <pic:cNvPicPr>
                      <a:picLocks noChangeArrowheads="1" noChangeAspect="1"/>
                    </pic:cNvPicPr>
                  </pic:nvPicPr>
                  <pic:blipFill>
                    <a:blip r:embed="rId8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sample effort.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Length frequency histogram of Northern Pikeminnow caught using hook-and-line angling during the study.</w:t>
      </w:r>
    </w:p>
    <w:p>
      <w:r>
        <w:br w:type="page"/>
      </w:r>
    </w:p>
    <w:p>
      <w:pPr>
        <w:pStyle w:val="CaptionedFigure"/>
      </w:pPr>
      <w:r>
        <w:drawing>
          <wp:inline>
            <wp:extent cx="5504749" cy="3669832"/>
            <wp:effectExtent b="0" l="0" r="0" t="0"/>
            <wp:docPr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8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9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91" w:name="colophon"/>
    <w:p>
      <w:pPr>
        <w:pStyle w:val="Heading3"/>
      </w:pPr>
      <w:r>
        <w:t xml:space="preserve">Colophon</w:t>
      </w:r>
    </w:p>
    <w:p>
      <w:pPr>
        <w:pStyle w:val="FirstParagraph"/>
      </w:pPr>
      <w:r>
        <w:t xml:space="preserve">This report was generated on 2021-12-29 10:14:23 using the following computational environment and dependencies:</w:t>
      </w:r>
    </w:p>
    <w:p>
      <w:pPr>
        <w:pStyle w:val="SourceCode"/>
      </w:pPr>
      <w:r>
        <w:rPr>
          <w:rStyle w:val="VerbatimChar"/>
        </w:rPr>
        <w:t xml:space="preserve">#&gt; - Session info  --------------------------------------------------------------</w:t>
      </w:r>
      <w:r>
        <w:br/>
      </w:r>
      <w:r>
        <w:rPr>
          <w:rStyle w:val="VerbatimChar"/>
        </w:rPr>
        <w:t xml:space="preserve">#&gt;  hash: no mobile phones, breast-feeding: dark skin tone, railway car</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2021-12-29</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[03f7b54] 2021-12-29: added draft conclusion</w:t>
      </w:r>
    </w:p>
    <w:bookmarkEnd w:id="91"/>
    <w:bookmarkEnd w:id="92"/>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89" Target="media/rId89.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2021-12-29T17:14:25Z</dcterms:created>
  <dcterms:modified xsi:type="dcterms:W3CDTF">2021-12-29T17:14:25Z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29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